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655C6" w14:textId="77777777" w:rsidR="005D5D78" w:rsidRDefault="00830B26">
      <w:pPr>
        <w:spacing w:after="0" w:line="240" w:lineRule="auto"/>
        <w:jc w:val="center"/>
        <w:rPr>
          <w:rFonts w:ascii="Open Sans" w:eastAsia="Open Sans" w:hAnsi="Open Sans" w:cs="Open Sans"/>
          <w:b/>
        </w:rPr>
      </w:pPr>
      <w:r>
        <w:rPr>
          <w:rFonts w:ascii="Open Sans" w:eastAsia="Open Sans" w:hAnsi="Open Sans" w:cs="Open Sans"/>
          <w:b/>
          <w:noProof/>
        </w:rPr>
        <w:drawing>
          <wp:inline distT="114300" distB="114300" distL="114300" distR="114300" wp14:anchorId="5E14929B" wp14:editId="564925B7">
            <wp:extent cx="6858000" cy="120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58000" cy="1206500"/>
                    </a:xfrm>
                    <a:prstGeom prst="rect">
                      <a:avLst/>
                    </a:prstGeom>
                    <a:ln/>
                  </pic:spPr>
                </pic:pic>
              </a:graphicData>
            </a:graphic>
          </wp:inline>
        </w:drawing>
      </w:r>
    </w:p>
    <w:p w14:paraId="1FE53B76" w14:textId="77777777" w:rsidR="00830B26" w:rsidRDefault="00830B26">
      <w:pPr>
        <w:spacing w:after="0" w:line="240" w:lineRule="auto"/>
        <w:rPr>
          <w:rFonts w:ascii="Open Sans" w:eastAsia="Open Sans" w:hAnsi="Open Sans" w:cs="Open Sans"/>
          <w:b/>
        </w:rPr>
      </w:pPr>
    </w:p>
    <w:p w14:paraId="3826EFFD" w14:textId="77777777" w:rsidR="005D5D78" w:rsidRPr="00830B26" w:rsidRDefault="003473F5">
      <w:pPr>
        <w:spacing w:after="0" w:line="240" w:lineRule="auto"/>
        <w:rPr>
          <w:rFonts w:asciiTheme="majorHAnsi" w:hAnsiTheme="majorHAnsi" w:cstheme="majorHAnsi"/>
          <w:b/>
          <w:sz w:val="22"/>
          <w:szCs w:val="22"/>
          <w:u w:val="single"/>
        </w:rPr>
      </w:pPr>
      <w:r>
        <w:rPr>
          <w:rFonts w:asciiTheme="majorHAnsi" w:eastAsia="Open Sans" w:hAnsiTheme="majorHAnsi" w:cstheme="majorHAnsi"/>
          <w:b/>
          <w:sz w:val="22"/>
          <w:szCs w:val="22"/>
          <w:u w:val="single"/>
        </w:rPr>
        <w:t>TECHNICAL SUPPORT POSITION</w:t>
      </w:r>
    </w:p>
    <w:p w14:paraId="48D199BF" w14:textId="77777777" w:rsidR="005D5D78" w:rsidRDefault="005D5D78">
      <w:pPr>
        <w:spacing w:after="0" w:line="240" w:lineRule="auto"/>
        <w:rPr>
          <w:b/>
          <w:sz w:val="22"/>
          <w:szCs w:val="22"/>
          <w:u w:val="single"/>
        </w:rPr>
      </w:pPr>
    </w:p>
    <w:p w14:paraId="2C041040" w14:textId="77777777" w:rsidR="005D5D78" w:rsidRDefault="00830B26">
      <w:pPr>
        <w:spacing w:after="0"/>
        <w:rPr>
          <w:b/>
          <w:sz w:val="22"/>
          <w:szCs w:val="22"/>
        </w:rPr>
      </w:pPr>
      <w:r>
        <w:rPr>
          <w:b/>
          <w:sz w:val="22"/>
          <w:szCs w:val="22"/>
        </w:rPr>
        <w:t xml:space="preserve">Position Title: </w:t>
      </w:r>
      <w:r>
        <w:rPr>
          <w:sz w:val="22"/>
          <w:szCs w:val="22"/>
        </w:rPr>
        <w:t xml:space="preserve">Summer </w:t>
      </w:r>
      <w:r w:rsidR="003473F5">
        <w:rPr>
          <w:sz w:val="22"/>
          <w:szCs w:val="22"/>
        </w:rPr>
        <w:t>TA</w:t>
      </w:r>
      <w:r>
        <w:rPr>
          <w:sz w:val="22"/>
          <w:szCs w:val="22"/>
        </w:rPr>
        <w:tab/>
      </w:r>
    </w:p>
    <w:p w14:paraId="32F03540" w14:textId="77777777" w:rsidR="005D5D78" w:rsidRDefault="00830B26">
      <w:pPr>
        <w:spacing w:after="0"/>
        <w:rPr>
          <w:b/>
          <w:sz w:val="22"/>
          <w:szCs w:val="22"/>
        </w:rPr>
      </w:pPr>
      <w:r>
        <w:rPr>
          <w:b/>
          <w:sz w:val="22"/>
          <w:szCs w:val="22"/>
        </w:rPr>
        <w:t xml:space="preserve">Supervising Faculty: </w:t>
      </w:r>
      <w:r w:rsidR="003473F5">
        <w:rPr>
          <w:sz w:val="22"/>
          <w:szCs w:val="22"/>
        </w:rPr>
        <w:t>Carey Farquhar</w:t>
      </w:r>
    </w:p>
    <w:p w14:paraId="4437B576" w14:textId="77777777" w:rsidR="005D5D78" w:rsidRDefault="00830B26">
      <w:pPr>
        <w:spacing w:after="0"/>
        <w:rPr>
          <w:b/>
          <w:sz w:val="22"/>
          <w:szCs w:val="22"/>
        </w:rPr>
      </w:pPr>
      <w:r>
        <w:rPr>
          <w:b/>
          <w:sz w:val="22"/>
          <w:szCs w:val="22"/>
        </w:rPr>
        <w:t xml:space="preserve">Hours per week: </w:t>
      </w:r>
      <w:r w:rsidR="00F33651" w:rsidRPr="00F33651">
        <w:rPr>
          <w:sz w:val="22"/>
          <w:szCs w:val="22"/>
        </w:rPr>
        <w:t>20</w:t>
      </w:r>
    </w:p>
    <w:p w14:paraId="28394836" w14:textId="77777777" w:rsidR="005D5D78" w:rsidRDefault="00830B26">
      <w:pPr>
        <w:spacing w:after="0"/>
        <w:rPr>
          <w:b/>
          <w:sz w:val="22"/>
          <w:szCs w:val="22"/>
        </w:rPr>
      </w:pPr>
      <w:r>
        <w:rPr>
          <w:b/>
          <w:sz w:val="22"/>
          <w:szCs w:val="22"/>
        </w:rPr>
        <w:t xml:space="preserve">Start Date: </w:t>
      </w:r>
      <w:r w:rsidR="003473F5">
        <w:rPr>
          <w:sz w:val="22"/>
          <w:szCs w:val="22"/>
        </w:rPr>
        <w:t>ASAP</w:t>
      </w:r>
    </w:p>
    <w:p w14:paraId="3893F903" w14:textId="5F1A2BDE" w:rsidR="005D5D78" w:rsidRDefault="00830B26">
      <w:pPr>
        <w:spacing w:after="0"/>
        <w:rPr>
          <w:b/>
          <w:sz w:val="22"/>
          <w:szCs w:val="22"/>
        </w:rPr>
      </w:pPr>
      <w:r>
        <w:rPr>
          <w:b/>
          <w:sz w:val="22"/>
          <w:szCs w:val="22"/>
        </w:rPr>
        <w:t xml:space="preserve">End Date: </w:t>
      </w:r>
      <w:r>
        <w:rPr>
          <w:sz w:val="22"/>
          <w:szCs w:val="22"/>
        </w:rPr>
        <w:t>September 15, 202</w:t>
      </w:r>
      <w:r w:rsidR="00E91131">
        <w:rPr>
          <w:sz w:val="22"/>
          <w:szCs w:val="22"/>
        </w:rPr>
        <w:t>0</w:t>
      </w:r>
    </w:p>
    <w:p w14:paraId="0C5E326E" w14:textId="183C9455" w:rsidR="00A6452E" w:rsidRDefault="00830B26">
      <w:pPr>
        <w:spacing w:after="0" w:line="240" w:lineRule="auto"/>
        <w:jc w:val="left"/>
        <w:rPr>
          <w:sz w:val="22"/>
          <w:szCs w:val="22"/>
        </w:rPr>
      </w:pPr>
      <w:r>
        <w:rPr>
          <w:b/>
          <w:sz w:val="22"/>
          <w:szCs w:val="22"/>
        </w:rPr>
        <w:t xml:space="preserve">Application Deadline: </w:t>
      </w:r>
      <w:r w:rsidR="005B298F">
        <w:rPr>
          <w:sz w:val="22"/>
          <w:szCs w:val="22"/>
        </w:rPr>
        <w:t>ASAP</w:t>
      </w:r>
    </w:p>
    <w:p w14:paraId="67133660" w14:textId="57D34607" w:rsidR="00A6452E" w:rsidRPr="00A6452E" w:rsidRDefault="00A6452E">
      <w:pPr>
        <w:spacing w:after="0" w:line="240" w:lineRule="auto"/>
        <w:jc w:val="left"/>
        <w:rPr>
          <w:b/>
          <w:sz w:val="22"/>
          <w:szCs w:val="22"/>
        </w:rPr>
      </w:pPr>
      <w:r w:rsidRPr="00A6452E">
        <w:rPr>
          <w:b/>
          <w:sz w:val="22"/>
          <w:szCs w:val="22"/>
        </w:rPr>
        <w:t xml:space="preserve">Positions available: </w:t>
      </w:r>
      <w:r w:rsidR="00F55F21">
        <w:rPr>
          <w:sz w:val="22"/>
          <w:szCs w:val="22"/>
        </w:rPr>
        <w:t>1 or more</w:t>
      </w:r>
    </w:p>
    <w:p w14:paraId="5B19D014" w14:textId="77777777" w:rsidR="005D5D78" w:rsidRDefault="00830B26">
      <w:pPr>
        <w:spacing w:before="280" w:after="280" w:line="240" w:lineRule="auto"/>
        <w:jc w:val="left"/>
        <w:rPr>
          <w:rStyle w:val="Strong"/>
          <w:rFonts w:asciiTheme="majorHAnsi" w:hAnsiTheme="majorHAnsi" w:cstheme="majorHAnsi"/>
          <w:b w:val="0"/>
          <w:color w:val="333333"/>
          <w:sz w:val="22"/>
          <w:szCs w:val="22"/>
          <w:shd w:val="clear" w:color="auto" w:fill="FFFFFF"/>
        </w:rPr>
      </w:pPr>
      <w:r>
        <w:rPr>
          <w:b/>
          <w:sz w:val="22"/>
          <w:szCs w:val="22"/>
        </w:rPr>
        <w:t xml:space="preserve">Position Summary:  </w:t>
      </w:r>
      <w:r w:rsidRPr="00830B26">
        <w:rPr>
          <w:rStyle w:val="Strong"/>
          <w:rFonts w:asciiTheme="majorHAnsi" w:hAnsiTheme="majorHAnsi" w:cstheme="majorHAnsi"/>
          <w:b w:val="0"/>
          <w:color w:val="333333"/>
          <w:sz w:val="22"/>
          <w:szCs w:val="22"/>
          <w:shd w:val="clear" w:color="auto" w:fill="FFFFFF"/>
        </w:rPr>
        <w:t xml:space="preserve">The School of Public Health has </w:t>
      </w:r>
      <w:r>
        <w:rPr>
          <w:rStyle w:val="Strong"/>
          <w:rFonts w:asciiTheme="majorHAnsi" w:hAnsiTheme="majorHAnsi" w:cstheme="majorHAnsi"/>
          <w:b w:val="0"/>
          <w:color w:val="333333"/>
          <w:sz w:val="22"/>
          <w:szCs w:val="22"/>
          <w:shd w:val="clear" w:color="auto" w:fill="FFFFFF"/>
        </w:rPr>
        <w:t xml:space="preserve">a Summer </w:t>
      </w:r>
      <w:r w:rsidR="003473F5">
        <w:rPr>
          <w:rStyle w:val="Strong"/>
          <w:rFonts w:asciiTheme="majorHAnsi" w:hAnsiTheme="majorHAnsi" w:cstheme="majorHAnsi"/>
          <w:b w:val="0"/>
          <w:color w:val="333333"/>
          <w:sz w:val="22"/>
          <w:szCs w:val="22"/>
          <w:shd w:val="clear" w:color="auto" w:fill="FFFFFF"/>
        </w:rPr>
        <w:t>TA</w:t>
      </w:r>
      <w:r>
        <w:rPr>
          <w:rStyle w:val="Strong"/>
          <w:rFonts w:asciiTheme="majorHAnsi" w:hAnsiTheme="majorHAnsi" w:cstheme="majorHAnsi"/>
          <w:b w:val="0"/>
          <w:color w:val="333333"/>
          <w:sz w:val="22"/>
          <w:szCs w:val="22"/>
          <w:shd w:val="clear" w:color="auto" w:fill="FFFFFF"/>
        </w:rPr>
        <w:t xml:space="preserve"> opportunity</w:t>
      </w:r>
      <w:r w:rsidR="005B298F">
        <w:rPr>
          <w:rStyle w:val="Strong"/>
          <w:rFonts w:asciiTheme="majorHAnsi" w:hAnsiTheme="majorHAnsi" w:cstheme="majorHAnsi"/>
          <w:b w:val="0"/>
          <w:color w:val="333333"/>
          <w:sz w:val="22"/>
          <w:szCs w:val="22"/>
          <w:shd w:val="clear" w:color="auto" w:fill="FFFFFF"/>
        </w:rPr>
        <w:t xml:space="preserve"> available to support faculty in their transition to online courses in the fall. This position is expected to continue in the fall and possibly for the rest of the academic year. </w:t>
      </w:r>
    </w:p>
    <w:p w14:paraId="08507B17" w14:textId="77777777" w:rsidR="005D5D78" w:rsidRDefault="00830B26">
      <w:pPr>
        <w:spacing w:after="0" w:line="240" w:lineRule="auto"/>
        <w:jc w:val="left"/>
        <w:rPr>
          <w:b/>
          <w:sz w:val="22"/>
          <w:szCs w:val="22"/>
        </w:rPr>
      </w:pPr>
      <w:r>
        <w:rPr>
          <w:b/>
          <w:sz w:val="22"/>
          <w:szCs w:val="22"/>
        </w:rPr>
        <w:t xml:space="preserve">Specific Job Functions:  </w:t>
      </w:r>
    </w:p>
    <w:p w14:paraId="128EE372" w14:textId="65125C6B" w:rsidR="006E4131" w:rsidRPr="006E4131" w:rsidRDefault="006E4131" w:rsidP="006E4131">
      <w:pPr>
        <w:pStyle w:val="ListParagraph"/>
        <w:numPr>
          <w:ilvl w:val="0"/>
          <w:numId w:val="3"/>
        </w:numPr>
        <w:spacing w:after="0" w:line="240" w:lineRule="auto"/>
        <w:jc w:val="left"/>
        <w:rPr>
          <w:rFonts w:asciiTheme="majorHAnsi" w:hAnsiTheme="majorHAnsi" w:cstheme="majorHAnsi"/>
          <w:sz w:val="22"/>
          <w:szCs w:val="22"/>
        </w:rPr>
      </w:pPr>
      <w:r>
        <w:rPr>
          <w:rFonts w:asciiTheme="majorHAnsi" w:hAnsiTheme="majorHAnsi" w:cstheme="majorHAnsi"/>
          <w:sz w:val="22"/>
          <w:szCs w:val="22"/>
        </w:rPr>
        <w:t xml:space="preserve">Support faculty </w:t>
      </w:r>
      <w:r w:rsidR="00881D1A">
        <w:rPr>
          <w:rFonts w:asciiTheme="majorHAnsi" w:hAnsiTheme="majorHAnsi" w:cstheme="majorHAnsi"/>
          <w:sz w:val="22"/>
          <w:szCs w:val="22"/>
        </w:rPr>
        <w:t xml:space="preserve">1:1 in preparing </w:t>
      </w:r>
      <w:r>
        <w:rPr>
          <w:rFonts w:asciiTheme="majorHAnsi" w:hAnsiTheme="majorHAnsi" w:cstheme="majorHAnsi"/>
          <w:sz w:val="22"/>
          <w:szCs w:val="22"/>
        </w:rPr>
        <w:t xml:space="preserve">for fall online courses across departments and programs within SPH </w:t>
      </w:r>
    </w:p>
    <w:p w14:paraId="0EB847D6" w14:textId="23077AEE" w:rsidR="006E4131" w:rsidRPr="00A6452E" w:rsidRDefault="000B1F23" w:rsidP="00976201">
      <w:pPr>
        <w:pStyle w:val="ListParagraph"/>
        <w:numPr>
          <w:ilvl w:val="0"/>
          <w:numId w:val="3"/>
        </w:numPr>
        <w:spacing w:after="0" w:line="240" w:lineRule="auto"/>
        <w:jc w:val="left"/>
        <w:rPr>
          <w:sz w:val="22"/>
          <w:szCs w:val="22"/>
        </w:rPr>
      </w:pPr>
      <w:r>
        <w:rPr>
          <w:sz w:val="22"/>
          <w:szCs w:val="22"/>
        </w:rPr>
        <w:t>R</w:t>
      </w:r>
      <w:r w:rsidR="00A6452E" w:rsidRPr="00A6452E">
        <w:rPr>
          <w:sz w:val="22"/>
          <w:szCs w:val="22"/>
        </w:rPr>
        <w:t xml:space="preserve">eview drafts of online courses </w:t>
      </w:r>
    </w:p>
    <w:p w14:paraId="4EA891CA" w14:textId="77777777" w:rsidR="005B298F" w:rsidRPr="005B298F" w:rsidRDefault="005B298F" w:rsidP="00976201">
      <w:pPr>
        <w:pStyle w:val="ListParagraph"/>
        <w:numPr>
          <w:ilvl w:val="0"/>
          <w:numId w:val="3"/>
        </w:numPr>
        <w:spacing w:after="0" w:line="240" w:lineRule="auto"/>
        <w:jc w:val="left"/>
        <w:rPr>
          <w:rFonts w:asciiTheme="majorHAnsi" w:hAnsiTheme="majorHAnsi" w:cstheme="majorHAnsi"/>
          <w:sz w:val="22"/>
          <w:szCs w:val="22"/>
        </w:rPr>
      </w:pPr>
      <w:r>
        <w:rPr>
          <w:sz w:val="22"/>
          <w:szCs w:val="22"/>
        </w:rPr>
        <w:t>Provide input on instructional design for remote learning</w:t>
      </w:r>
    </w:p>
    <w:p w14:paraId="33EDE34D" w14:textId="77777777" w:rsidR="005B298F" w:rsidRPr="005B298F" w:rsidRDefault="005B298F" w:rsidP="00976201">
      <w:pPr>
        <w:pStyle w:val="ListParagraph"/>
        <w:numPr>
          <w:ilvl w:val="0"/>
          <w:numId w:val="3"/>
        </w:numPr>
        <w:spacing w:after="0" w:line="240" w:lineRule="auto"/>
        <w:jc w:val="left"/>
        <w:rPr>
          <w:rFonts w:asciiTheme="majorHAnsi" w:hAnsiTheme="majorHAnsi" w:cstheme="majorHAnsi"/>
          <w:sz w:val="22"/>
          <w:szCs w:val="22"/>
        </w:rPr>
      </w:pPr>
      <w:r>
        <w:rPr>
          <w:sz w:val="22"/>
          <w:szCs w:val="22"/>
        </w:rPr>
        <w:t xml:space="preserve">Provide technical support (e.g., breakout rooms, polling, </w:t>
      </w:r>
      <w:proofErr w:type="spellStart"/>
      <w:r>
        <w:rPr>
          <w:sz w:val="22"/>
          <w:szCs w:val="22"/>
        </w:rPr>
        <w:t>etc</w:t>
      </w:r>
      <w:proofErr w:type="spellEnd"/>
      <w:r>
        <w:rPr>
          <w:sz w:val="22"/>
          <w:szCs w:val="22"/>
        </w:rPr>
        <w:t xml:space="preserve">) to multiple faculty </w:t>
      </w:r>
    </w:p>
    <w:p w14:paraId="4835D08C" w14:textId="4CFB3D1B" w:rsidR="005B298F" w:rsidRPr="005B298F" w:rsidRDefault="005B298F" w:rsidP="00976201">
      <w:pPr>
        <w:pStyle w:val="ListParagraph"/>
        <w:numPr>
          <w:ilvl w:val="0"/>
          <w:numId w:val="3"/>
        </w:numPr>
        <w:spacing w:after="0" w:line="240" w:lineRule="auto"/>
        <w:jc w:val="left"/>
        <w:rPr>
          <w:rFonts w:asciiTheme="majorHAnsi" w:hAnsiTheme="majorHAnsi" w:cstheme="majorHAnsi"/>
          <w:sz w:val="22"/>
          <w:szCs w:val="22"/>
        </w:rPr>
      </w:pPr>
      <w:r>
        <w:rPr>
          <w:sz w:val="22"/>
          <w:szCs w:val="22"/>
        </w:rPr>
        <w:t>Support the technical aspects and troubleshoot problems as they arise</w:t>
      </w:r>
      <w:r w:rsidR="00881D1A">
        <w:rPr>
          <w:sz w:val="22"/>
          <w:szCs w:val="22"/>
        </w:rPr>
        <w:t>, including Canvas websites</w:t>
      </w:r>
    </w:p>
    <w:p w14:paraId="538E60F3" w14:textId="25FAF659" w:rsidR="005B298F" w:rsidRPr="00A6452E" w:rsidRDefault="00EC48CB" w:rsidP="00976201">
      <w:pPr>
        <w:pStyle w:val="ListParagraph"/>
        <w:numPr>
          <w:ilvl w:val="0"/>
          <w:numId w:val="3"/>
        </w:numPr>
        <w:spacing w:after="0" w:line="240" w:lineRule="auto"/>
        <w:jc w:val="left"/>
        <w:rPr>
          <w:rFonts w:asciiTheme="majorHAnsi" w:hAnsiTheme="majorHAnsi" w:cstheme="majorHAnsi"/>
          <w:sz w:val="22"/>
          <w:szCs w:val="22"/>
        </w:rPr>
      </w:pPr>
      <w:r>
        <w:rPr>
          <w:sz w:val="22"/>
          <w:szCs w:val="22"/>
        </w:rPr>
        <w:t>F</w:t>
      </w:r>
      <w:r w:rsidR="005B298F">
        <w:rPr>
          <w:sz w:val="22"/>
          <w:szCs w:val="22"/>
        </w:rPr>
        <w:t>acilitate peer to peer sessions</w:t>
      </w:r>
    </w:p>
    <w:p w14:paraId="27C98A0D" w14:textId="7E421D06" w:rsidR="00A6452E" w:rsidRPr="00A6452E" w:rsidRDefault="00B252D9" w:rsidP="00976201">
      <w:pPr>
        <w:pStyle w:val="ListParagraph"/>
        <w:numPr>
          <w:ilvl w:val="0"/>
          <w:numId w:val="3"/>
        </w:numPr>
        <w:spacing w:after="0" w:line="240" w:lineRule="auto"/>
        <w:jc w:val="left"/>
        <w:rPr>
          <w:sz w:val="22"/>
          <w:szCs w:val="22"/>
        </w:rPr>
      </w:pPr>
      <w:r>
        <w:rPr>
          <w:sz w:val="22"/>
          <w:szCs w:val="22"/>
        </w:rPr>
        <w:t>P</w:t>
      </w:r>
      <w:r w:rsidR="00A6452E" w:rsidRPr="00A6452E">
        <w:rPr>
          <w:sz w:val="22"/>
          <w:szCs w:val="22"/>
        </w:rPr>
        <w:t>rovide training opportunities for students on tech aspects of online learning platforms</w:t>
      </w:r>
    </w:p>
    <w:p w14:paraId="2C228E1F" w14:textId="77777777" w:rsidR="00A6452E" w:rsidRDefault="00A6452E">
      <w:pPr>
        <w:rPr>
          <w:color w:val="000000"/>
        </w:rPr>
      </w:pPr>
    </w:p>
    <w:p w14:paraId="27C615E3" w14:textId="1AA78134" w:rsidR="005D5D78" w:rsidRDefault="00830B26">
      <w:pPr>
        <w:rPr>
          <w:sz w:val="22"/>
          <w:szCs w:val="22"/>
        </w:rPr>
      </w:pPr>
      <w:r>
        <w:rPr>
          <w:b/>
          <w:sz w:val="22"/>
          <w:szCs w:val="22"/>
        </w:rPr>
        <w:t xml:space="preserve">Required Qualifications: </w:t>
      </w:r>
      <w:r>
        <w:rPr>
          <w:sz w:val="22"/>
          <w:szCs w:val="22"/>
        </w:rPr>
        <w:t>Minimum stan</w:t>
      </w:r>
      <w:bookmarkStart w:id="0" w:name="_GoBack"/>
      <w:bookmarkEnd w:id="0"/>
      <w:r>
        <w:rPr>
          <w:sz w:val="22"/>
          <w:szCs w:val="22"/>
        </w:rPr>
        <w:t>ding of current graduate student in the School of Public Health</w:t>
      </w:r>
      <w:r w:rsidR="00EE6B22">
        <w:rPr>
          <w:sz w:val="22"/>
          <w:szCs w:val="22"/>
        </w:rPr>
        <w:t>. M</w:t>
      </w:r>
      <w:r w:rsidR="00EE6B22" w:rsidRPr="00EE6B22">
        <w:rPr>
          <w:sz w:val="22"/>
          <w:szCs w:val="22"/>
        </w:rPr>
        <w:t>ust be enrolled for at least 2 credits during summer quarter and full-time/10 credits during fall, winter, and spring</w:t>
      </w:r>
      <w:r w:rsidR="00EE6B22">
        <w:rPr>
          <w:sz w:val="22"/>
          <w:szCs w:val="22"/>
        </w:rPr>
        <w:t>.</w:t>
      </w:r>
    </w:p>
    <w:p w14:paraId="754260F4" w14:textId="63535F4F" w:rsidR="005D5D78" w:rsidRDefault="00830B26">
      <w:pPr>
        <w:jc w:val="left"/>
        <w:rPr>
          <w:sz w:val="22"/>
          <w:szCs w:val="22"/>
        </w:rPr>
      </w:pPr>
      <w:r w:rsidRPr="00A6452E">
        <w:rPr>
          <w:b/>
          <w:sz w:val="22"/>
          <w:szCs w:val="22"/>
        </w:rPr>
        <w:t>Preferred Qualifications:</w:t>
      </w:r>
      <w:r w:rsidRPr="00A6452E">
        <w:rPr>
          <w:sz w:val="22"/>
          <w:szCs w:val="22"/>
        </w:rPr>
        <w:t xml:space="preserve"> Experience with CANVAS; </w:t>
      </w:r>
      <w:r w:rsidR="00F33651" w:rsidRPr="00A6452E">
        <w:rPr>
          <w:sz w:val="22"/>
          <w:szCs w:val="22"/>
        </w:rPr>
        <w:t>prior teaching assistant or course development experience</w:t>
      </w:r>
      <w:r w:rsidR="00EC48CB" w:rsidRPr="00A6452E">
        <w:rPr>
          <w:sz w:val="22"/>
          <w:szCs w:val="22"/>
        </w:rPr>
        <w:t xml:space="preserve">; technical </w:t>
      </w:r>
      <w:r w:rsidR="006E2A9A" w:rsidRPr="00A6452E">
        <w:rPr>
          <w:sz w:val="22"/>
          <w:szCs w:val="22"/>
        </w:rPr>
        <w:t xml:space="preserve">savviness and </w:t>
      </w:r>
      <w:r w:rsidR="00EC48CB" w:rsidRPr="00A6452E">
        <w:rPr>
          <w:sz w:val="22"/>
          <w:szCs w:val="22"/>
        </w:rPr>
        <w:t>troubleshooting experience</w:t>
      </w:r>
      <w:r w:rsidR="00881D1A" w:rsidRPr="00A6452E">
        <w:rPr>
          <w:sz w:val="22"/>
          <w:szCs w:val="22"/>
        </w:rPr>
        <w:t>, excellent interpersonal skills</w:t>
      </w:r>
    </w:p>
    <w:p w14:paraId="0E8E7963" w14:textId="77777777" w:rsidR="005D5D78" w:rsidRDefault="00830B26">
      <w:pPr>
        <w:jc w:val="left"/>
        <w:rPr>
          <w:sz w:val="22"/>
          <w:szCs w:val="22"/>
        </w:rPr>
      </w:pPr>
      <w:r>
        <w:rPr>
          <w:b/>
          <w:sz w:val="22"/>
          <w:szCs w:val="22"/>
        </w:rPr>
        <w:t xml:space="preserve">Salary: </w:t>
      </w:r>
      <w:r>
        <w:rPr>
          <w:sz w:val="22"/>
          <w:szCs w:val="22"/>
        </w:rPr>
        <w:t>Commensurate with academic eligibility</w:t>
      </w:r>
      <w:r w:rsidR="005B298F">
        <w:rPr>
          <w:sz w:val="22"/>
          <w:szCs w:val="22"/>
        </w:rPr>
        <w:t xml:space="preserve">, </w:t>
      </w:r>
      <w:r w:rsidR="005B298F" w:rsidRPr="006E2A9A">
        <w:rPr>
          <w:sz w:val="22"/>
          <w:szCs w:val="22"/>
        </w:rPr>
        <w:t>ranging from $2,436</w:t>
      </w:r>
      <w:r w:rsidR="00EC48CB" w:rsidRPr="006E2A9A">
        <w:rPr>
          <w:sz w:val="22"/>
          <w:szCs w:val="22"/>
        </w:rPr>
        <w:t>/m - $3,814/m.</w:t>
      </w:r>
    </w:p>
    <w:p w14:paraId="0AD3917A" w14:textId="77D081B5" w:rsidR="005D5D78" w:rsidRDefault="00830B26">
      <w:pPr>
        <w:spacing w:after="0" w:line="240" w:lineRule="auto"/>
        <w:jc w:val="left"/>
        <w:rPr>
          <w:sz w:val="22"/>
          <w:szCs w:val="22"/>
        </w:rPr>
      </w:pPr>
      <w:r w:rsidRPr="00A6452E">
        <w:rPr>
          <w:b/>
          <w:sz w:val="22"/>
          <w:szCs w:val="22"/>
        </w:rPr>
        <w:t xml:space="preserve">Application Procedure: </w:t>
      </w:r>
      <w:r w:rsidR="00F33651" w:rsidRPr="00A6452E">
        <w:rPr>
          <w:rFonts w:asciiTheme="majorHAnsi" w:hAnsiTheme="majorHAnsi" w:cstheme="majorHAnsi"/>
          <w:sz w:val="22"/>
          <w:szCs w:val="22"/>
          <w:shd w:val="clear" w:color="auto" w:fill="FFFFFF"/>
        </w:rPr>
        <w:t xml:space="preserve">To apply for this position, please send a cover </w:t>
      </w:r>
      <w:r w:rsidR="005B298F" w:rsidRPr="00A6452E">
        <w:rPr>
          <w:rFonts w:asciiTheme="majorHAnsi" w:hAnsiTheme="majorHAnsi" w:cstheme="majorHAnsi"/>
          <w:sz w:val="22"/>
          <w:szCs w:val="22"/>
          <w:shd w:val="clear" w:color="auto" w:fill="FFFFFF"/>
        </w:rPr>
        <w:t xml:space="preserve">letter </w:t>
      </w:r>
      <w:r w:rsidR="00EC48CB" w:rsidRPr="00A6452E">
        <w:rPr>
          <w:rFonts w:asciiTheme="majorHAnsi" w:hAnsiTheme="majorHAnsi" w:cstheme="majorHAnsi"/>
          <w:sz w:val="22"/>
          <w:szCs w:val="22"/>
          <w:shd w:val="clear" w:color="auto" w:fill="FFFFFF"/>
        </w:rPr>
        <w:t xml:space="preserve">with </w:t>
      </w:r>
      <w:r w:rsidR="00F33651" w:rsidRPr="00A6452E">
        <w:rPr>
          <w:rFonts w:asciiTheme="majorHAnsi" w:hAnsiTheme="majorHAnsi" w:cstheme="majorHAnsi"/>
          <w:sz w:val="22"/>
          <w:szCs w:val="22"/>
          <w:shd w:val="clear" w:color="auto" w:fill="FFFFFF"/>
        </w:rPr>
        <w:t xml:space="preserve">your interest in the position and your resume or CV to </w:t>
      </w:r>
      <w:r w:rsidR="00EC48CB" w:rsidRPr="00A6452E">
        <w:rPr>
          <w:sz w:val="22"/>
          <w:szCs w:val="22"/>
        </w:rPr>
        <w:t xml:space="preserve">Carey Farquhar </w:t>
      </w:r>
      <w:hyperlink r:id="rId6" w:history="1">
        <w:r w:rsidR="00CC64AD" w:rsidRPr="00460276">
          <w:rPr>
            <w:rStyle w:val="Hyperlink"/>
            <w:sz w:val="22"/>
            <w:szCs w:val="22"/>
          </w:rPr>
          <w:t>cfarq@uw.edu</w:t>
        </w:r>
      </w:hyperlink>
      <w:r w:rsidR="00CC64AD">
        <w:rPr>
          <w:sz w:val="22"/>
          <w:szCs w:val="22"/>
        </w:rPr>
        <w:t xml:space="preserve"> and Stephanie Farquhar </w:t>
      </w:r>
      <w:hyperlink r:id="rId7" w:history="1">
        <w:r w:rsidR="00CC64AD" w:rsidRPr="00460276">
          <w:rPr>
            <w:rStyle w:val="Hyperlink"/>
            <w:sz w:val="22"/>
            <w:szCs w:val="22"/>
          </w:rPr>
          <w:t>farqs@uw.edu</w:t>
        </w:r>
      </w:hyperlink>
      <w:r w:rsidR="00CC64AD">
        <w:rPr>
          <w:sz w:val="22"/>
          <w:szCs w:val="22"/>
        </w:rPr>
        <w:t xml:space="preserve"> </w:t>
      </w:r>
      <w:r w:rsidR="00EC48CB" w:rsidRPr="00A6452E">
        <w:rPr>
          <w:sz w:val="22"/>
          <w:szCs w:val="22"/>
        </w:rPr>
        <w:t>.</w:t>
      </w:r>
      <w:r w:rsidR="00F33651" w:rsidRPr="00A6452E">
        <w:rPr>
          <w:rFonts w:asciiTheme="majorHAnsi" w:hAnsiTheme="majorHAnsi" w:cstheme="majorHAnsi"/>
          <w:sz w:val="22"/>
          <w:szCs w:val="22"/>
          <w:shd w:val="clear" w:color="auto" w:fill="FFFFFF"/>
        </w:rPr>
        <w:t xml:space="preserve"> </w:t>
      </w:r>
      <w:r w:rsidR="00DC3055" w:rsidRPr="00A6452E">
        <w:rPr>
          <w:rFonts w:asciiTheme="majorHAnsi" w:hAnsiTheme="majorHAnsi" w:cstheme="majorHAnsi"/>
          <w:sz w:val="22"/>
          <w:szCs w:val="22"/>
          <w:shd w:val="clear" w:color="auto" w:fill="FFFFFF"/>
        </w:rPr>
        <w:t>The</w:t>
      </w:r>
      <w:r w:rsidR="00A6452E" w:rsidRPr="00A6452E">
        <w:rPr>
          <w:rFonts w:asciiTheme="majorHAnsi" w:hAnsiTheme="majorHAnsi" w:cstheme="majorHAnsi"/>
          <w:sz w:val="22"/>
          <w:szCs w:val="22"/>
          <w:shd w:val="clear" w:color="auto" w:fill="FFFFFF"/>
        </w:rPr>
        <w:t>se</w:t>
      </w:r>
      <w:r w:rsidR="00DC3055" w:rsidRPr="00A6452E">
        <w:rPr>
          <w:rFonts w:asciiTheme="majorHAnsi" w:hAnsiTheme="majorHAnsi" w:cstheme="majorHAnsi"/>
          <w:sz w:val="22"/>
          <w:szCs w:val="22"/>
          <w:shd w:val="clear" w:color="auto" w:fill="FFFFFF"/>
        </w:rPr>
        <w:t xml:space="preserve"> position</w:t>
      </w:r>
      <w:r w:rsidR="00A6452E" w:rsidRPr="00A6452E">
        <w:rPr>
          <w:rFonts w:asciiTheme="majorHAnsi" w:hAnsiTheme="majorHAnsi" w:cstheme="majorHAnsi"/>
          <w:sz w:val="22"/>
          <w:szCs w:val="22"/>
          <w:shd w:val="clear" w:color="auto" w:fill="FFFFFF"/>
        </w:rPr>
        <w:t>s</w:t>
      </w:r>
      <w:r w:rsidR="00DC3055" w:rsidRPr="00A6452E">
        <w:rPr>
          <w:rFonts w:asciiTheme="majorHAnsi" w:hAnsiTheme="majorHAnsi" w:cstheme="majorHAnsi"/>
          <w:sz w:val="22"/>
          <w:szCs w:val="22"/>
          <w:shd w:val="clear" w:color="auto" w:fill="FFFFFF"/>
        </w:rPr>
        <w:t xml:space="preserve"> will remain open until filled.</w:t>
      </w:r>
      <w:r w:rsidR="00DC3055">
        <w:rPr>
          <w:rFonts w:asciiTheme="majorHAnsi" w:hAnsiTheme="majorHAnsi" w:cstheme="majorHAnsi"/>
          <w:sz w:val="22"/>
          <w:szCs w:val="22"/>
          <w:shd w:val="clear" w:color="auto" w:fill="FFFFFF"/>
        </w:rPr>
        <w:t xml:space="preserve"> </w:t>
      </w:r>
    </w:p>
    <w:p w14:paraId="7180A5DF" w14:textId="77777777" w:rsidR="005D5D78" w:rsidRDefault="005D5D78">
      <w:pPr>
        <w:spacing w:after="0" w:line="240" w:lineRule="auto"/>
        <w:jc w:val="left"/>
        <w:rPr>
          <w:b/>
          <w:sz w:val="22"/>
          <w:szCs w:val="22"/>
        </w:rPr>
      </w:pPr>
    </w:p>
    <w:p w14:paraId="6F6850D3" w14:textId="77777777" w:rsidR="005D5D78" w:rsidRDefault="00830B26">
      <w:pPr>
        <w:pBdr>
          <w:top w:val="nil"/>
          <w:left w:val="nil"/>
          <w:bottom w:val="nil"/>
          <w:right w:val="nil"/>
          <w:between w:val="nil"/>
        </w:pBdr>
        <w:shd w:val="clear" w:color="auto" w:fill="FFFFFF"/>
        <w:spacing w:after="0" w:line="240" w:lineRule="auto"/>
        <w:jc w:val="left"/>
        <w:rPr>
          <w:color w:val="000000"/>
          <w:sz w:val="22"/>
          <w:szCs w:val="22"/>
        </w:rPr>
      </w:pPr>
      <w:bookmarkStart w:id="1" w:name="_gjdgxs" w:colFirst="0" w:colLast="0"/>
      <w:bookmarkEnd w:id="1"/>
      <w:r>
        <w:rPr>
          <w:b/>
          <w:color w:val="000000"/>
          <w:sz w:val="22"/>
          <w:szCs w:val="22"/>
        </w:rPr>
        <w:t xml:space="preserve">Non-discrimination Statement:  </w:t>
      </w:r>
      <w:r w:rsidR="00EC48CB">
        <w:rPr>
          <w:color w:val="000000"/>
          <w:sz w:val="22"/>
          <w:szCs w:val="22"/>
        </w:rPr>
        <w:t xml:space="preserve">The University of Washington </w:t>
      </w:r>
      <w:r>
        <w:rPr>
          <w:color w:val="000000"/>
          <w:sz w:val="22"/>
          <w:szCs w:val="22"/>
        </w:rPr>
        <w:t xml:space="preserve">affirms its policy of equal opportunity regardless of race, color, creed, religion, national origin, sex, sexual orientation, age, marital status, disability, or status as a disabled veteran or Vietnam era veteran. This policy applies to all programs and facilities, including, but not limited to, admissions, educational programs, employment, and patient and hospital services. Any discriminatory action can be a cause for disciplinary action. Discrimination is prohibited by Presidential Executive Order 11246 as amended, Washington State Gubernatorial Executive Orders 89-01 and 93-07, Titles VI and VII of the Civil Rights Act of 1964, Washington State Law Against Discrimination RCW 49.60, Title IX of the Education Amendments of 1972, State of Washington Gender Equity in Higher Education Act of 1989, Sections 503 and 504 of the Rehabilitation Act of 1973, </w:t>
      </w:r>
      <w:r>
        <w:rPr>
          <w:color w:val="000000"/>
          <w:sz w:val="22"/>
          <w:szCs w:val="22"/>
        </w:rPr>
        <w:lastRenderedPageBreak/>
        <w:t xml:space="preserve">Americans with Disabilities Act of 1990, Age Discrimination in Employment Act of 1967 as amended, Age Discrimination Act of 1975, Vietnam Era Veterans' Readjustment Assistance Act of 1972 as amended, other federal and state statutes, </w:t>
      </w:r>
      <w:proofErr w:type="gramStart"/>
      <w:r>
        <w:rPr>
          <w:color w:val="000000"/>
          <w:sz w:val="22"/>
          <w:szCs w:val="22"/>
        </w:rPr>
        <w:t>regulations</w:t>
      </w:r>
      <w:proofErr w:type="gramEnd"/>
      <w:r>
        <w:rPr>
          <w:color w:val="000000"/>
          <w:sz w:val="22"/>
          <w:szCs w:val="22"/>
        </w:rPr>
        <w:t xml:space="preserve">, and University policy. Equal Opportunity and Affirmative Action compliance efforts at the University of Washington are coordinated by the </w:t>
      </w:r>
      <w:r>
        <w:rPr>
          <w:b/>
          <w:color w:val="000000"/>
          <w:sz w:val="22"/>
          <w:szCs w:val="22"/>
        </w:rPr>
        <w:t xml:space="preserve">Office of Equal Opportunity and Affirmative Action, University of Washington, 231 </w:t>
      </w:r>
      <w:proofErr w:type="spellStart"/>
      <w:r>
        <w:rPr>
          <w:b/>
          <w:color w:val="000000"/>
          <w:sz w:val="22"/>
          <w:szCs w:val="22"/>
        </w:rPr>
        <w:t>Gerberding</w:t>
      </w:r>
      <w:proofErr w:type="spellEnd"/>
      <w:r>
        <w:rPr>
          <w:b/>
          <w:color w:val="000000"/>
          <w:sz w:val="22"/>
          <w:szCs w:val="22"/>
        </w:rPr>
        <w:t xml:space="preserve"> Hall, Box 351240, Seattle, Washington, 98195-1240, telephone 206.543.1830 or email </w:t>
      </w:r>
      <w:hyperlink r:id="rId8">
        <w:r>
          <w:rPr>
            <w:b/>
            <w:color w:val="0000FF"/>
            <w:sz w:val="22"/>
            <w:szCs w:val="22"/>
            <w:u w:val="single"/>
          </w:rPr>
          <w:t>eoaa@u.washington.edu</w:t>
        </w:r>
      </w:hyperlink>
      <w:r>
        <w:rPr>
          <w:b/>
          <w:color w:val="000000"/>
          <w:sz w:val="22"/>
          <w:szCs w:val="22"/>
        </w:rPr>
        <w:t>.</w:t>
      </w:r>
    </w:p>
    <w:p w14:paraId="0FF18F63" w14:textId="77777777" w:rsidR="005D5D78" w:rsidRDefault="005D5D78">
      <w:pPr>
        <w:pBdr>
          <w:top w:val="nil"/>
          <w:left w:val="nil"/>
          <w:bottom w:val="nil"/>
          <w:right w:val="nil"/>
          <w:between w:val="nil"/>
        </w:pBdr>
        <w:shd w:val="clear" w:color="auto" w:fill="FFFFFF"/>
        <w:spacing w:after="0" w:line="240" w:lineRule="auto"/>
        <w:jc w:val="left"/>
        <w:rPr>
          <w:color w:val="000000"/>
          <w:sz w:val="22"/>
          <w:szCs w:val="22"/>
        </w:rPr>
      </w:pPr>
    </w:p>
    <w:p w14:paraId="41168F9F" w14:textId="77777777" w:rsidR="005D5D78" w:rsidRDefault="00830B26">
      <w:pPr>
        <w:pBdr>
          <w:top w:val="nil"/>
          <w:left w:val="nil"/>
          <w:bottom w:val="nil"/>
          <w:right w:val="nil"/>
          <w:between w:val="nil"/>
        </w:pBdr>
        <w:shd w:val="clear" w:color="auto" w:fill="FFFFFF"/>
        <w:spacing w:after="0" w:line="240" w:lineRule="auto"/>
        <w:jc w:val="left"/>
        <w:rPr>
          <w:color w:val="000000"/>
          <w:sz w:val="22"/>
          <w:szCs w:val="22"/>
        </w:rPr>
      </w:pPr>
      <w:r>
        <w:rPr>
          <w:b/>
          <w:color w:val="000000"/>
          <w:sz w:val="22"/>
          <w:szCs w:val="22"/>
        </w:rPr>
        <w:t xml:space="preserve">Access Statement:  </w:t>
      </w:r>
      <w:r>
        <w:rPr>
          <w:color w:val="000000"/>
          <w:sz w:val="22"/>
          <w:szCs w:val="22"/>
        </w:rPr>
        <w:t xml:space="preserve">The University of Washington is committed to providing access and reasonable accommodation in its services, programs, activities, education and employment for individuals with disabilities. To request disability accommodation in the application process, as a visitor or a student, contact the Disability Services Office at least ten days in advance at: 206.543.6450/V, 206.543.6452/TTY, 206.685.7264 (FAX), or </w:t>
      </w:r>
      <w:hyperlink r:id="rId9">
        <w:r>
          <w:rPr>
            <w:color w:val="0000FF"/>
            <w:sz w:val="22"/>
            <w:szCs w:val="22"/>
            <w:u w:val="single"/>
          </w:rPr>
          <w:t>dso@u.washington.edu</w:t>
        </w:r>
      </w:hyperlink>
      <w:r>
        <w:rPr>
          <w:color w:val="000000"/>
          <w:sz w:val="22"/>
          <w:szCs w:val="22"/>
        </w:rPr>
        <w:t>.</w:t>
      </w:r>
    </w:p>
    <w:p w14:paraId="1990AB9E" w14:textId="77777777" w:rsidR="005D5D78" w:rsidRDefault="005D5D78">
      <w:pPr>
        <w:spacing w:before="280" w:after="100"/>
        <w:rPr>
          <w:rFonts w:ascii="Open Sans" w:eastAsia="Open Sans" w:hAnsi="Open Sans" w:cs="Open Sans"/>
          <w:b/>
        </w:rPr>
      </w:pPr>
    </w:p>
    <w:sectPr w:rsidR="005D5D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CA9"/>
    <w:multiLevelType w:val="hybridMultilevel"/>
    <w:tmpl w:val="DA1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13363"/>
    <w:multiLevelType w:val="multilevel"/>
    <w:tmpl w:val="3C9A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6141F"/>
    <w:multiLevelType w:val="hybridMultilevel"/>
    <w:tmpl w:val="60F2A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78"/>
    <w:rsid w:val="000B1F23"/>
    <w:rsid w:val="003473F5"/>
    <w:rsid w:val="00513914"/>
    <w:rsid w:val="005B298F"/>
    <w:rsid w:val="005D5D78"/>
    <w:rsid w:val="006E2A9A"/>
    <w:rsid w:val="006E4131"/>
    <w:rsid w:val="00830B26"/>
    <w:rsid w:val="00881D1A"/>
    <w:rsid w:val="00976201"/>
    <w:rsid w:val="00A6452E"/>
    <w:rsid w:val="00A7790E"/>
    <w:rsid w:val="00B252D9"/>
    <w:rsid w:val="00B63C69"/>
    <w:rsid w:val="00CC64AD"/>
    <w:rsid w:val="00DC3055"/>
    <w:rsid w:val="00E876E6"/>
    <w:rsid w:val="00E91131"/>
    <w:rsid w:val="00EC48CB"/>
    <w:rsid w:val="00EE6B22"/>
    <w:rsid w:val="00F33651"/>
    <w:rsid w:val="00F5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0DAB"/>
  <w15:docId w15:val="{4631D203-3B5B-4A6B-B114-BB862F5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830B26"/>
    <w:rPr>
      <w:b/>
      <w:bCs/>
    </w:rPr>
  </w:style>
  <w:style w:type="character" w:styleId="Hyperlink">
    <w:name w:val="Hyperlink"/>
    <w:basedOn w:val="DefaultParagraphFont"/>
    <w:uiPriority w:val="99"/>
    <w:unhideWhenUsed/>
    <w:rsid w:val="00830B26"/>
    <w:rPr>
      <w:color w:val="0000FF"/>
      <w:u w:val="single"/>
    </w:rPr>
  </w:style>
  <w:style w:type="paragraph" w:styleId="NormalWeb">
    <w:name w:val="Normal (Web)"/>
    <w:basedOn w:val="Normal"/>
    <w:uiPriority w:val="99"/>
    <w:unhideWhenUsed/>
    <w:rsid w:val="00830B2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30B26"/>
    <w:pPr>
      <w:ind w:left="720"/>
      <w:contextualSpacing/>
    </w:pPr>
  </w:style>
  <w:style w:type="paragraph" w:styleId="BalloonText">
    <w:name w:val="Balloon Text"/>
    <w:basedOn w:val="Normal"/>
    <w:link w:val="BalloonTextChar"/>
    <w:uiPriority w:val="99"/>
    <w:semiHidden/>
    <w:unhideWhenUsed/>
    <w:rsid w:val="00976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aa@u.washington.edu" TargetMode="External"/><Relationship Id="rId3" Type="http://schemas.openxmlformats.org/officeDocument/2006/relationships/settings" Target="settings.xml"/><Relationship Id="rId7" Type="http://schemas.openxmlformats.org/officeDocument/2006/relationships/hyperlink" Target="mailto:farqs@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arq@uw.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o@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3287</Characters>
  <Application>Microsoft Office Word</Application>
  <DocSecurity>0</DocSecurity>
  <Lines>219</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van Brunt</dc:creator>
  <cp:lastModifiedBy>Michelle G. Arambula</cp:lastModifiedBy>
  <cp:revision>4</cp:revision>
  <dcterms:created xsi:type="dcterms:W3CDTF">2020-07-30T15:16:00Z</dcterms:created>
  <dcterms:modified xsi:type="dcterms:W3CDTF">2020-07-30T15:30:00Z</dcterms:modified>
</cp:coreProperties>
</file>